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99E" w:rsidRDefault="0012299E" w:rsidP="00122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p>
    <w:p w:rsidR="0012299E" w:rsidRDefault="0012299E" w:rsidP="00122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rPr>
      </w:pPr>
      <w:proofErr w:type="gramStart"/>
      <w:r>
        <w:rPr>
          <w:b/>
        </w:rPr>
        <w:t>..........</w:t>
      </w:r>
      <w:proofErr w:type="gramEnd"/>
      <w:r>
        <w:rPr>
          <w:b/>
        </w:rPr>
        <w:t xml:space="preserve"> Limited Şirketinin</w:t>
      </w:r>
      <w:proofErr w:type="gramStart"/>
      <w:r>
        <w:rPr>
          <w:b/>
        </w:rPr>
        <w:t>............</w:t>
      </w:r>
      <w:proofErr w:type="gramEnd"/>
      <w:r>
        <w:rPr>
          <w:b/>
        </w:rPr>
        <w:t xml:space="preserve"> Tarihinde Yapılan </w:t>
      </w:r>
      <w:r w:rsidR="00D65040">
        <w:rPr>
          <w:b/>
        </w:rPr>
        <w:t>Tasfiye Sonu</w:t>
      </w:r>
      <w:r>
        <w:rPr>
          <w:b/>
        </w:rPr>
        <w:t xml:space="preserve"> Genel Kurul Toplantı Tutanağı</w:t>
      </w:r>
    </w:p>
    <w:p w:rsidR="00D40166" w:rsidRDefault="00D40166"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709"/>
        <w:jc w:val="both"/>
      </w:pPr>
    </w:p>
    <w:p w:rsidR="008B5E9E" w:rsidRDefault="008B5E9E" w:rsidP="008B5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rPr>
          <w:b/>
        </w:rPr>
      </w:pPr>
      <w:r>
        <w:rPr>
          <w:b/>
        </w:rPr>
        <w:t xml:space="preserve">     </w:t>
      </w:r>
    </w:p>
    <w:p w:rsidR="008B5E9E" w:rsidRDefault="008B5E9E" w:rsidP="008B5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roofErr w:type="gramStart"/>
      <w:r>
        <w:t>...............</w:t>
      </w:r>
      <w:proofErr w:type="gramEnd"/>
      <w:r>
        <w:t xml:space="preserve"> Limited Şirketinin </w:t>
      </w:r>
      <w:r w:rsidR="00D65040">
        <w:t>tasfiye sonu</w:t>
      </w:r>
      <w:r>
        <w:t xml:space="preserve"> genel kurul toplantısı </w:t>
      </w:r>
      <w:proofErr w:type="gramStart"/>
      <w:r>
        <w:t>........</w:t>
      </w:r>
      <w:proofErr w:type="gramEnd"/>
      <w:r>
        <w:t xml:space="preserve"> tarihinde, saat ....... de, şirket merkez adresi olan ............... ................ adresinde yapılmıştır.</w:t>
      </w:r>
    </w:p>
    <w:p w:rsidR="008B5E9E" w:rsidRDefault="008B5E9E" w:rsidP="008B5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
    <w:p w:rsidR="004B5CE2" w:rsidRDefault="008B5E9E" w:rsidP="004B5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tab/>
      </w:r>
      <w:r w:rsidR="004B5CE2">
        <w:tab/>
      </w:r>
    </w:p>
    <w:p w:rsidR="004B5CE2" w:rsidRDefault="004B5CE2" w:rsidP="004B5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rPr>
          <w:b/>
          <w:color w:val="FF0000"/>
        </w:rPr>
      </w:pPr>
      <w:r>
        <w:rPr>
          <w:color w:val="FF0000"/>
        </w:rPr>
        <w:t>*</w:t>
      </w:r>
      <w:r>
        <w:rPr>
          <w:b/>
          <w:color w:val="FF0000"/>
        </w:rPr>
        <w:t>Çağrılı genel kurul olması durumunda aşağıdaki paragraf yazılmalıdır;</w:t>
      </w:r>
    </w:p>
    <w:p w:rsidR="004B5CE2" w:rsidRDefault="004B5CE2" w:rsidP="004B5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rPr>
          <w:b/>
        </w:rPr>
      </w:pPr>
    </w:p>
    <w:p w:rsidR="004B5CE2" w:rsidRDefault="004B5CE2" w:rsidP="004B5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t xml:space="preserve">Toplantıya ait çağrı; kanun ve esas sözleşmede öngörüldüğü gibi ve gündemi de ihtiva edecek şekilde, Türkiye Ticaret Sicili Gazetesinin ....... tarih ve .......... sayılı nüshasında ilân edilmek suretiyle ayrıca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w:t>
      </w:r>
      <w:proofErr w:type="gramStart"/>
      <w:r>
        <w:t>…….</w:t>
      </w:r>
      <w:proofErr w:type="gramEnd"/>
      <w:r>
        <w:t xml:space="preserve">payın  asaleten olmak üzere toplantıda temsil edildiği ve böylece gerek Kanun gerekse esas sözleşmede öngörülen asgari toplantı nisabının mevcut olduğunun anlaşılması üzerine toplantı </w:t>
      </w:r>
      <w:r w:rsidR="00D97DD7" w:rsidRPr="00870037">
        <w:t>şirket müdürü</w:t>
      </w:r>
      <w:r w:rsidR="00870037">
        <w:rPr>
          <w:color w:val="FF0000"/>
        </w:rPr>
        <w:t>/</w:t>
      </w:r>
      <w:r w:rsidR="001C1B05" w:rsidRPr="001C1B05">
        <w:rPr>
          <w:color w:val="FF0000"/>
        </w:rPr>
        <w:t>tasfiye memuru</w:t>
      </w:r>
      <w:r w:rsidR="00D97DD7" w:rsidRPr="001C1B05">
        <w:rPr>
          <w:color w:val="FF0000"/>
        </w:rPr>
        <w:t xml:space="preserve"> </w:t>
      </w:r>
      <w:r>
        <w:t>........... tarafından açılarak gündemin görüşülmesine geçilmiştir.</w:t>
      </w:r>
    </w:p>
    <w:p w:rsidR="004B5CE2" w:rsidRDefault="004B5CE2" w:rsidP="004B5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
    <w:p w:rsidR="004B5CE2" w:rsidRDefault="004B5CE2" w:rsidP="004B5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rPr>
          <w:b/>
        </w:rPr>
      </w:pPr>
      <w:r>
        <w:rPr>
          <w:b/>
          <w:color w:val="FF0000"/>
        </w:rPr>
        <w:t>* Çağrısız genel kurul olması durumunda ise yukarıdaki paragraf yerine aşağıdaki paragraf yazılmalıdır;</w:t>
      </w:r>
    </w:p>
    <w:p w:rsidR="008B5E9E" w:rsidRDefault="008B5E9E" w:rsidP="008B5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rPr>
          <w:b/>
        </w:rPr>
      </w:pPr>
    </w:p>
    <w:p w:rsidR="00D97DD7" w:rsidRDefault="00D97DD7" w:rsidP="00D97DD7">
      <w:pPr>
        <w:ind w:firstLine="567"/>
        <w:jc w:val="both"/>
      </w:pPr>
      <w:r>
        <w:t xml:space="preserve">Toplantı </w:t>
      </w:r>
      <w:proofErr w:type="spellStart"/>
      <w:r>
        <w:t>T.T.K’nun</w:t>
      </w:r>
      <w:proofErr w:type="spellEnd"/>
      <w:r>
        <w:t xml:space="preserve"> 617. Maddesine göre t</w:t>
      </w:r>
      <w:r w:rsidR="001C1B05">
        <w:t>üm ortakların hazır bulunduğu,</w:t>
      </w:r>
      <w:r>
        <w:t xml:space="preserve"> çağrısız olarak toplandığı ve toplantıya ait hiçbir itirazın olmadığı tespit edilmiştir. Hazır bulunanlar listesinin  tetkikinde, şirket paylarının  …….toplam itibari değerinin; toplam itibari değeri ......... TL olan, ……payın temsilen, toplam itibari değeri......... TL olan </w:t>
      </w:r>
      <w:proofErr w:type="gramStart"/>
      <w:r>
        <w:t>…….</w:t>
      </w:r>
      <w:proofErr w:type="gramEnd"/>
      <w:r>
        <w:t xml:space="preserve">payın  asaleten olmak üzere toplantıda temsil edildiğinin anlaşılması üzerine toplantı </w:t>
      </w:r>
      <w:r w:rsidR="001C1B05" w:rsidRPr="00870037">
        <w:t>şirket müdürü</w:t>
      </w:r>
      <w:r w:rsidR="00870037">
        <w:rPr>
          <w:color w:val="FF0000"/>
        </w:rPr>
        <w:t>/</w:t>
      </w:r>
      <w:r w:rsidR="001C1B05" w:rsidRPr="001C1B05">
        <w:rPr>
          <w:color w:val="FF0000"/>
        </w:rPr>
        <w:t xml:space="preserve"> tasfiye memuru</w:t>
      </w:r>
      <w:r>
        <w:t xml:space="preserve">........... tarafından açılarak gündemin görüşülmesine geçilmiştir. </w:t>
      </w:r>
      <w:r>
        <w:rPr>
          <w:color w:val="FF0000"/>
        </w:rPr>
        <w:t>(Çağrısız toplanan genel kurulda gündeme oybirliği ile madde eklenebilir; aksine esas sözleşme hükmü geçersizdir. (TTK/Madde 416/2) (Limited şirketler için bu madde kıyas yoluyla uygulanır)</w:t>
      </w:r>
    </w:p>
    <w:p w:rsidR="008B5E9E" w:rsidRDefault="008B5E9E" w:rsidP="008B5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rPr>
          <w:b/>
        </w:rPr>
      </w:pPr>
    </w:p>
    <w:p w:rsidR="008B5E9E" w:rsidRDefault="008B5E9E" w:rsidP="008B5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
    <w:p w:rsidR="008B5E9E" w:rsidRDefault="008B5E9E" w:rsidP="008B5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Pr>
          <w:b/>
        </w:rPr>
        <w:t>1-</w:t>
      </w:r>
      <w:r>
        <w:t>Toplantı açılışı yapıldı ve gündem okundu. Toplantı başkanlığına ...........</w:t>
      </w:r>
      <w:proofErr w:type="spellStart"/>
      <w:r>
        <w:t>nın</w:t>
      </w:r>
      <w:proofErr w:type="spellEnd"/>
      <w:r>
        <w:t xml:space="preserve">, oy toplama memurluğuna </w:t>
      </w:r>
      <w:r w:rsidRPr="00A22873">
        <w:rPr>
          <w:color w:val="FF0000"/>
        </w:rPr>
        <w:t xml:space="preserve">(seçilmesi durumunda) </w:t>
      </w:r>
      <w:r>
        <w:t>…………</w:t>
      </w:r>
      <w:proofErr w:type="spellStart"/>
      <w:r>
        <w:t>nın</w:t>
      </w:r>
      <w:proofErr w:type="spellEnd"/>
      <w:r>
        <w:t xml:space="preserve">, tutanak yazmanlığına </w:t>
      </w:r>
      <w:r w:rsidRPr="00A22873">
        <w:rPr>
          <w:color w:val="FF0000"/>
        </w:rPr>
        <w:t>(seçilmesi durumunda)</w:t>
      </w:r>
      <w:r>
        <w:t>………………….</w:t>
      </w:r>
      <w:proofErr w:type="spellStart"/>
      <w:r>
        <w:t>nın</w:t>
      </w:r>
      <w:proofErr w:type="spellEnd"/>
      <w:r>
        <w:t>, seçilmelerine oybirliğiyle</w:t>
      </w:r>
      <w:r w:rsidRPr="006A0B2A">
        <w:rPr>
          <w:color w:val="FF0000"/>
        </w:rPr>
        <w:t>/........... olumsuz oya karşılık ......... oyla</w:t>
      </w:r>
      <w:r>
        <w:t xml:space="preserve"> karar verildi.</w:t>
      </w:r>
    </w:p>
    <w:p w:rsidR="008B5E9E" w:rsidRDefault="008B5E9E" w:rsidP="008B5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
    <w:p w:rsidR="008F2FAB" w:rsidRDefault="008F2FAB" w:rsidP="008F2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p>
    <w:p w:rsidR="004E6B62" w:rsidRDefault="008F2FAB"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Pr>
          <w:b/>
        </w:rPr>
        <w:t>2</w:t>
      </w:r>
      <w:r w:rsidR="001A6AA1" w:rsidRPr="001A6AA1">
        <w:rPr>
          <w:b/>
        </w:rPr>
        <w:t>-</w:t>
      </w:r>
      <w:r w:rsidR="00884EF6">
        <w:t xml:space="preserve">Şirketimiz tasfiyesine ………. Tarihinde karar verilmiş ve Türkiye Ticaret Sicil Gazetesi’nde ….. , …….., ve ……… tarihlerinde …., …… ve …….. sayılarında ilan edilmiştir. Şirketimiz kanuni tasfiye süresini tamamlamış olduğundan ve herhangi bir borcu ve alacağı olmadığından şirket tasfiyesinin sonlandırılmasına, tasfiye memurunun ibrasına, son ve kesin bilançonun kabulüne, şirket ticaret sicil kaydının silinmesine ve ilgili vergi dairesine bildirilmesine </w:t>
      </w:r>
      <w:r w:rsidR="006A0B2A">
        <w:t>oybirliğiyle</w:t>
      </w:r>
      <w:r w:rsidR="006A0B2A" w:rsidRPr="006A0B2A">
        <w:rPr>
          <w:color w:val="FF0000"/>
        </w:rPr>
        <w:t>/</w:t>
      </w:r>
      <w:proofErr w:type="gramStart"/>
      <w:r w:rsidR="006A0B2A" w:rsidRPr="006A0B2A">
        <w:rPr>
          <w:color w:val="FF0000"/>
        </w:rPr>
        <w:t>...........</w:t>
      </w:r>
      <w:proofErr w:type="gramEnd"/>
      <w:r w:rsidR="006A0B2A" w:rsidRPr="006A0B2A">
        <w:rPr>
          <w:color w:val="FF0000"/>
        </w:rPr>
        <w:t xml:space="preserve"> olumsuz oya karşılık </w:t>
      </w:r>
      <w:proofErr w:type="gramStart"/>
      <w:r w:rsidR="006A0B2A" w:rsidRPr="006A0B2A">
        <w:rPr>
          <w:color w:val="FF0000"/>
        </w:rPr>
        <w:t>.........</w:t>
      </w:r>
      <w:proofErr w:type="gramEnd"/>
      <w:r w:rsidR="006A0B2A" w:rsidRPr="006A0B2A">
        <w:rPr>
          <w:color w:val="FF0000"/>
        </w:rPr>
        <w:t xml:space="preserve"> oyla </w:t>
      </w:r>
      <w:r w:rsidR="006A0B2A">
        <w:t xml:space="preserve">karar </w:t>
      </w:r>
      <w:r w:rsidR="00884EF6">
        <w:t xml:space="preserve">verilmiştir. </w:t>
      </w:r>
    </w:p>
    <w:p w:rsidR="00660927" w:rsidRDefault="00660927"/>
    <w:p w:rsidR="008F2FAB" w:rsidRPr="00556003" w:rsidRDefault="008F2FAB">
      <w:pPr>
        <w:rPr>
          <w:color w:val="FF0000"/>
        </w:rPr>
      </w:pPr>
      <w:bookmarkStart w:id="0" w:name="_GoBack"/>
    </w:p>
    <w:p w:rsidR="00660927" w:rsidRPr="00556003" w:rsidRDefault="00660927">
      <w:pPr>
        <w:rPr>
          <w:color w:val="FF0000"/>
        </w:rPr>
      </w:pPr>
      <w:r w:rsidRPr="00556003">
        <w:rPr>
          <w:color w:val="FF0000"/>
        </w:rPr>
        <w:t>DİVAN HEYETİ İMZA</w:t>
      </w:r>
    </w:p>
    <w:bookmarkEnd w:id="0"/>
    <w:p w:rsidR="00660927" w:rsidRPr="001B0B53" w:rsidRDefault="00660927"/>
    <w:p w:rsidR="00660927" w:rsidRPr="001B0B53" w:rsidRDefault="00660927" w:rsidP="00660927">
      <w:pPr>
        <w:jc w:val="both"/>
      </w:pPr>
      <w:r w:rsidRPr="001B0B53">
        <w:t xml:space="preserve">Toplantı Başkanı  </w:t>
      </w:r>
      <w:r w:rsidRPr="001B0B53">
        <w:tab/>
      </w:r>
      <w:r w:rsidR="001B0B53" w:rsidRPr="001B0B53">
        <w:tab/>
      </w:r>
      <w:r w:rsidRPr="00A22873">
        <w:rPr>
          <w:color w:val="FF0000"/>
        </w:rPr>
        <w:t xml:space="preserve">Tutanak Yazmanı  </w:t>
      </w:r>
      <w:r w:rsidRPr="00A22873">
        <w:rPr>
          <w:color w:val="FF0000"/>
        </w:rPr>
        <w:tab/>
      </w:r>
      <w:r w:rsidR="001B0B53" w:rsidRPr="00A22873">
        <w:rPr>
          <w:color w:val="FF0000"/>
        </w:rPr>
        <w:tab/>
      </w:r>
      <w:r w:rsidRPr="00A22873">
        <w:rPr>
          <w:color w:val="FF0000"/>
        </w:rPr>
        <w:t xml:space="preserve">Oy Toplama Memuru    </w:t>
      </w:r>
    </w:p>
    <w:p w:rsidR="00A22873" w:rsidRDefault="00660927" w:rsidP="00660927">
      <w:pPr>
        <w:jc w:val="both"/>
      </w:pPr>
      <w:r w:rsidRPr="001B0B53">
        <w:tab/>
        <w:t>İMZA</w:t>
      </w:r>
      <w:r w:rsidRPr="001B0B53">
        <w:tab/>
      </w:r>
      <w:r w:rsidRPr="001B0B53">
        <w:tab/>
      </w:r>
      <w:r w:rsidRPr="001B0B53">
        <w:tab/>
      </w:r>
      <w:r w:rsidR="001B0B53" w:rsidRPr="001B0B53">
        <w:tab/>
      </w:r>
      <w:proofErr w:type="spellStart"/>
      <w:r w:rsidRPr="00A22873">
        <w:rPr>
          <w:color w:val="FF0000"/>
        </w:rPr>
        <w:t>İMZA</w:t>
      </w:r>
      <w:proofErr w:type="spellEnd"/>
      <w:r w:rsidRPr="00A22873">
        <w:rPr>
          <w:color w:val="FF0000"/>
        </w:rPr>
        <w:tab/>
      </w:r>
      <w:r w:rsidRPr="00A22873">
        <w:rPr>
          <w:color w:val="FF0000"/>
        </w:rPr>
        <w:tab/>
      </w:r>
      <w:r w:rsidRPr="00A22873">
        <w:rPr>
          <w:color w:val="FF0000"/>
        </w:rPr>
        <w:tab/>
      </w:r>
      <w:r w:rsidR="001B0B53" w:rsidRPr="00A22873">
        <w:rPr>
          <w:color w:val="FF0000"/>
        </w:rPr>
        <w:t xml:space="preserve">          </w:t>
      </w:r>
      <w:proofErr w:type="spellStart"/>
      <w:r w:rsidRPr="00A22873">
        <w:rPr>
          <w:color w:val="FF0000"/>
        </w:rPr>
        <w:t>İMZA</w:t>
      </w:r>
      <w:proofErr w:type="spellEnd"/>
      <w:r w:rsidRPr="00A22873">
        <w:rPr>
          <w:color w:val="FF0000"/>
        </w:rPr>
        <w:tab/>
      </w:r>
    </w:p>
    <w:p w:rsidR="006A0B2A" w:rsidRDefault="00A22873" w:rsidP="00660927">
      <w:pPr>
        <w:jc w:val="both"/>
      </w:pPr>
      <w:r>
        <w:tab/>
      </w:r>
      <w:r>
        <w:tab/>
      </w:r>
      <w:r>
        <w:tab/>
      </w:r>
      <w:r>
        <w:tab/>
      </w:r>
      <w:r w:rsidRPr="00A22873">
        <w:rPr>
          <w:color w:val="FF0000"/>
        </w:rPr>
        <w:t>(seçilmesi durumunda)</w:t>
      </w:r>
      <w:r w:rsidRPr="00A22873">
        <w:rPr>
          <w:color w:val="FF0000"/>
        </w:rPr>
        <w:tab/>
        <w:t>(seçilmesi durumunda)</w:t>
      </w:r>
      <w:r w:rsidR="00660927" w:rsidRPr="001B0B53">
        <w:tab/>
      </w:r>
    </w:p>
    <w:p w:rsidR="006A0B2A" w:rsidRDefault="006A0B2A" w:rsidP="00660927">
      <w:pPr>
        <w:jc w:val="both"/>
      </w:pPr>
    </w:p>
    <w:p w:rsidR="006A0B2A" w:rsidRDefault="006A0B2A" w:rsidP="00660927">
      <w:pPr>
        <w:jc w:val="both"/>
      </w:pPr>
    </w:p>
    <w:p w:rsidR="006A0B2A" w:rsidRDefault="006A0B2A" w:rsidP="00660927">
      <w:pPr>
        <w:jc w:val="both"/>
      </w:pPr>
    </w:p>
    <w:p w:rsidR="008F2FAB" w:rsidRPr="00B15890" w:rsidRDefault="00660927" w:rsidP="00660927">
      <w:pPr>
        <w:jc w:val="both"/>
        <w:rPr>
          <w:b/>
        </w:rPr>
      </w:pPr>
      <w:r w:rsidRPr="001B0B53">
        <w:tab/>
      </w:r>
    </w:p>
    <w:p w:rsidR="00884EF6" w:rsidRPr="00A22873" w:rsidRDefault="00252F0F" w:rsidP="00660927">
      <w:pPr>
        <w:jc w:val="both"/>
        <w:rPr>
          <w:b/>
          <w:color w:val="C0504D" w:themeColor="accent2"/>
        </w:rPr>
      </w:pPr>
      <w:r w:rsidRPr="002031B0">
        <w:rPr>
          <w:b/>
          <w:color w:val="C0504D" w:themeColor="accent2"/>
        </w:rPr>
        <w:t>DİKKAT!</w:t>
      </w:r>
    </w:p>
    <w:p w:rsidR="002031B0" w:rsidRDefault="002031B0" w:rsidP="00A22873">
      <w:pPr>
        <w:jc w:val="both"/>
      </w:pPr>
    </w:p>
    <w:p w:rsidR="00884EF6" w:rsidRDefault="00884EF6" w:rsidP="009310AC">
      <w:pPr>
        <w:jc w:val="both"/>
      </w:pPr>
      <w:r w:rsidRPr="00252F0F">
        <w:t>*Sona erme sebebi belirtilmelidir.</w:t>
      </w:r>
      <w:r w:rsidR="009310AC">
        <w:t xml:space="preserve"> </w:t>
      </w:r>
      <w:r w:rsidR="009310AC" w:rsidRPr="009310AC">
        <w:rPr>
          <w:u w:val="single"/>
        </w:rPr>
        <w:t>Sermaye Şirketlerinin Tasfiyesinde Şirket Alacaklılarının Alacaklarının Yatırılacağı Bankanın Belirlenmesine İlişkin Tebliğ’e bakınız</w:t>
      </w:r>
      <w:r w:rsidR="009310AC">
        <w:t>.</w:t>
      </w:r>
    </w:p>
    <w:p w:rsidR="002031B0" w:rsidRPr="00252F0F" w:rsidRDefault="002031B0" w:rsidP="00A22873">
      <w:pPr>
        <w:jc w:val="both"/>
      </w:pPr>
    </w:p>
    <w:p w:rsidR="00884EF6" w:rsidRDefault="00252F0F" w:rsidP="00A22873">
      <w:pPr>
        <w:jc w:val="both"/>
      </w:pPr>
      <w:r>
        <w:t>*</w:t>
      </w:r>
      <w:r w:rsidR="00884EF6" w:rsidRPr="00252F0F">
        <w:t xml:space="preserve">Tasfiye Kapanışı </w:t>
      </w:r>
      <w:r w:rsidR="009310AC">
        <w:t xml:space="preserve">kararının alınması </w:t>
      </w:r>
      <w:r w:rsidR="00884EF6" w:rsidRPr="00252F0F">
        <w:t>için 3. İlan gazetesinden itibaren bir yıl bir gün geçmesi gerekmektedir.</w:t>
      </w:r>
    </w:p>
    <w:p w:rsidR="002031B0" w:rsidRPr="00252F0F" w:rsidRDefault="002031B0" w:rsidP="00A22873">
      <w:pPr>
        <w:jc w:val="both"/>
      </w:pPr>
    </w:p>
    <w:p w:rsidR="0096209F" w:rsidRPr="00252F0F" w:rsidRDefault="0096209F" w:rsidP="00A22873">
      <w:pPr>
        <w:jc w:val="both"/>
      </w:pPr>
      <w:r w:rsidRPr="00252F0F">
        <w:t>*</w:t>
      </w:r>
      <w:r w:rsidR="009310AC">
        <w:t>Genel kurul karar</w:t>
      </w:r>
      <w:r w:rsidR="008B5E9E">
        <w:t>ı t</w:t>
      </w:r>
      <w:r w:rsidRPr="00252F0F">
        <w:t xml:space="preserve">emsil edilen oyların en az üçte ikisinin ve oy hakkı bulunan esas </w:t>
      </w:r>
    </w:p>
    <w:p w:rsidR="0096209F" w:rsidRDefault="0096209F" w:rsidP="00A22873">
      <w:pPr>
        <w:jc w:val="both"/>
      </w:pPr>
      <w:r w:rsidRPr="00252F0F">
        <w:t>sermayenin tamamının salt çoğunluğunun bir arada bulunması hâlinde alınabilir. (TTK Madde 621)</w:t>
      </w:r>
    </w:p>
    <w:p w:rsidR="009310AC" w:rsidRDefault="009310AC" w:rsidP="00A22873">
      <w:pPr>
        <w:jc w:val="both"/>
      </w:pPr>
    </w:p>
    <w:p w:rsidR="009310AC" w:rsidRPr="009310AC" w:rsidRDefault="009310AC" w:rsidP="009310AC">
      <w:pPr>
        <w:spacing w:line="240" w:lineRule="exact"/>
        <w:jc w:val="both"/>
      </w:pPr>
      <w:r>
        <w:t>*</w:t>
      </w:r>
      <w:r w:rsidRPr="009310AC">
        <w:rPr>
          <w:b/>
          <w:bCs/>
          <w:sz w:val="18"/>
          <w:szCs w:val="18"/>
        </w:rPr>
        <w:t xml:space="preserve"> </w:t>
      </w:r>
      <w:r w:rsidRPr="009310AC">
        <w:t xml:space="preserve">MADDE 543- (1) Tasfiye hâlinde bulunan şirketin borçları ödendikten ve pay bedelleri geri verildikten sonra kalan varlığı, esas sözleşmede aksi kararlaştırılmamışsa pay sahipleri arasında, ödedikleri sermayeler ve imtiyaz hakları oranında dağıtılır. Tasfiye payında imtiyazın varlığı hâlinde esas sözleşmedeki düzenleme uygulanır. </w:t>
      </w:r>
    </w:p>
    <w:p w:rsidR="009310AC" w:rsidRPr="009310AC" w:rsidRDefault="009310AC" w:rsidP="009310AC">
      <w:pPr>
        <w:spacing w:line="240" w:lineRule="exact"/>
        <w:jc w:val="both"/>
      </w:pPr>
      <w:r w:rsidRPr="009310AC">
        <w:t xml:space="preserve">(2) </w:t>
      </w:r>
      <w:r w:rsidRPr="009310AC">
        <w:rPr>
          <w:u w:val="single"/>
        </w:rPr>
        <w:t>Alacaklılara üçüncü kez yapılan çağrı tarihinden itibaren bir yıl geçmedikçe kalan varlık dağıtılamaz</w:t>
      </w:r>
      <w:r w:rsidRPr="009310AC">
        <w:t xml:space="preserve">. Şu kadar ki, hâl ve duruma göre alacaklılar için bir tehlike mevcut olmadığı takdirde </w:t>
      </w:r>
      <w:r w:rsidRPr="009310AC">
        <w:rPr>
          <w:u w:val="single"/>
        </w:rPr>
        <w:t>mahkeme</w:t>
      </w:r>
      <w:r w:rsidRPr="009310AC">
        <w:t xml:space="preserve"> bir yıl geçmeden de dağıtmaya izin verebilir.</w:t>
      </w:r>
    </w:p>
    <w:p w:rsidR="009310AC" w:rsidRPr="009310AC" w:rsidRDefault="009310AC" w:rsidP="009310AC">
      <w:pPr>
        <w:spacing w:line="240" w:lineRule="exact"/>
        <w:jc w:val="both"/>
      </w:pPr>
      <w:r w:rsidRPr="009310AC">
        <w:t>(3) Esas sözleşme ve genel kurul kararında aksine hüküm bulunmadıkça, dağıtma para olarak yapılır.</w:t>
      </w:r>
    </w:p>
    <w:p w:rsidR="008B5E9E" w:rsidRDefault="008B5E9E" w:rsidP="00A22873">
      <w:pPr>
        <w:jc w:val="both"/>
      </w:pPr>
    </w:p>
    <w:p w:rsidR="008B5E9E" w:rsidRDefault="00A22873" w:rsidP="00A22873">
      <w:pPr>
        <w:jc w:val="both"/>
      </w:pPr>
      <w:r>
        <w:t>*Tek kişilik L</w:t>
      </w:r>
      <w:r w:rsidR="008B5E9E">
        <w:t>imited şirketlerin olağan/olağanüstü genel kurullarında toplantı tutanağının şirket ortağı tarafından imzalanması</w:t>
      </w:r>
      <w:r>
        <w:t xml:space="preserve"> zorunludur. Tek ortaklı L</w:t>
      </w:r>
      <w:r w:rsidR="008F2FAB">
        <w:t>imited</w:t>
      </w:r>
      <w:r w:rsidR="008B5E9E">
        <w:t xml:space="preserve"> şirketlerde bu ortak genel kurulun tüm yetkilerine sahiptir. (TTK</w:t>
      </w:r>
      <w:r w:rsidR="00D65040">
        <w:t xml:space="preserve"> Madde</w:t>
      </w:r>
      <w:r w:rsidR="008B5E9E">
        <w:t xml:space="preserve"> 616/3)</w:t>
      </w:r>
    </w:p>
    <w:p w:rsidR="008F2FAB" w:rsidRDefault="008F2FAB" w:rsidP="00A22873">
      <w:pPr>
        <w:jc w:val="both"/>
      </w:pPr>
    </w:p>
    <w:p w:rsidR="00AB2D31" w:rsidRDefault="00AB2D31" w:rsidP="00AB2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t>*Genel kurul karar tarihinden itibaren 15 gün süre içerisinde müdürlüğe başvurulması gerekmektedir.</w:t>
      </w:r>
    </w:p>
    <w:p w:rsidR="00A22873" w:rsidRDefault="00A22873" w:rsidP="00A2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p>
    <w:p w:rsidR="00EC73A3" w:rsidRDefault="00A22873" w:rsidP="00EC7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t>*</w:t>
      </w:r>
      <w:r w:rsidR="00C8127A">
        <w:t>*</w:t>
      </w:r>
      <w:r w:rsidR="00EC73A3" w:rsidRPr="00EC73A3">
        <w:t xml:space="preserve"> </w:t>
      </w:r>
      <w:r w:rsidR="00EC73A3" w:rsidRPr="00C8127A">
        <w:rPr>
          <w:color w:val="FF0000"/>
        </w:rPr>
        <w:t xml:space="preserve">Genel Kurul Toplantı Tutanağı metninde kırmızıyla işaretlenen bölümler dikkat çekmek amacıyla açıklama veya alternatif </w:t>
      </w:r>
      <w:proofErr w:type="gramStart"/>
      <w:r w:rsidR="00EC73A3" w:rsidRPr="00C8127A">
        <w:rPr>
          <w:color w:val="FF0000"/>
        </w:rPr>
        <w:t>olarak  belirtilmiştir</w:t>
      </w:r>
      <w:proofErr w:type="gramEnd"/>
      <w:r w:rsidR="00EC73A3" w:rsidRPr="00C8127A">
        <w:rPr>
          <w:color w:val="FF0000"/>
        </w:rPr>
        <w:t xml:space="preserve">. Gerekli olmayan veya açıklama şeklinde yazılan </w:t>
      </w:r>
      <w:proofErr w:type="gramStart"/>
      <w:r w:rsidR="00EC73A3" w:rsidRPr="00C8127A">
        <w:rPr>
          <w:color w:val="FF0000"/>
        </w:rPr>
        <w:t>yerlerin  Tutanaktan</w:t>
      </w:r>
      <w:proofErr w:type="gramEnd"/>
      <w:r w:rsidR="00EC73A3" w:rsidRPr="00C8127A">
        <w:rPr>
          <w:color w:val="FF0000"/>
        </w:rPr>
        <w:t xml:space="preserve"> çıkarılması gerekmektedir.</w:t>
      </w:r>
    </w:p>
    <w:p w:rsidR="00EC73A3" w:rsidRPr="00587B28" w:rsidRDefault="00EC73A3" w:rsidP="00EC7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p>
    <w:p w:rsidR="00A22873" w:rsidRDefault="00A22873" w:rsidP="008F2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p>
    <w:p w:rsidR="008F2FAB" w:rsidRDefault="008F2FAB" w:rsidP="008B5E9E">
      <w:pPr>
        <w:jc w:val="both"/>
      </w:pPr>
    </w:p>
    <w:p w:rsidR="008B5E9E" w:rsidRPr="00252F0F" w:rsidRDefault="008B5E9E" w:rsidP="0096209F"/>
    <w:p w:rsidR="0096209F" w:rsidRPr="00252F0F" w:rsidRDefault="0096209F" w:rsidP="00884EF6">
      <w:pPr>
        <w:jc w:val="both"/>
      </w:pPr>
    </w:p>
    <w:p w:rsidR="00884EF6" w:rsidRPr="00252F0F" w:rsidRDefault="00884EF6" w:rsidP="00884EF6"/>
    <w:p w:rsidR="00660927" w:rsidRPr="00252F0F" w:rsidRDefault="00660927" w:rsidP="00660927">
      <w:pPr>
        <w:jc w:val="both"/>
      </w:pPr>
      <w:r w:rsidRPr="00252F0F">
        <w:t xml:space="preserve">     </w:t>
      </w:r>
    </w:p>
    <w:sectPr w:rsidR="00660927" w:rsidRPr="00252F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C023B"/>
    <w:multiLevelType w:val="hybridMultilevel"/>
    <w:tmpl w:val="A09ADF90"/>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B62"/>
    <w:rsid w:val="000A4779"/>
    <w:rsid w:val="0012299E"/>
    <w:rsid w:val="001A6AA1"/>
    <w:rsid w:val="001B0B53"/>
    <w:rsid w:val="001C1B05"/>
    <w:rsid w:val="002031B0"/>
    <w:rsid w:val="0022209C"/>
    <w:rsid w:val="00252F0F"/>
    <w:rsid w:val="003F73D0"/>
    <w:rsid w:val="0048587C"/>
    <w:rsid w:val="004B5CE2"/>
    <w:rsid w:val="004E6B62"/>
    <w:rsid w:val="00555299"/>
    <w:rsid w:val="00556003"/>
    <w:rsid w:val="005D1024"/>
    <w:rsid w:val="0060323F"/>
    <w:rsid w:val="00632354"/>
    <w:rsid w:val="00660927"/>
    <w:rsid w:val="006A0B2A"/>
    <w:rsid w:val="007179B1"/>
    <w:rsid w:val="00870037"/>
    <w:rsid w:val="00884EF6"/>
    <w:rsid w:val="008B5E9E"/>
    <w:rsid w:val="008F2FAB"/>
    <w:rsid w:val="009310AC"/>
    <w:rsid w:val="0096209F"/>
    <w:rsid w:val="00964631"/>
    <w:rsid w:val="009F54CE"/>
    <w:rsid w:val="00A22873"/>
    <w:rsid w:val="00A852DA"/>
    <w:rsid w:val="00AB2D31"/>
    <w:rsid w:val="00B15890"/>
    <w:rsid w:val="00C8127A"/>
    <w:rsid w:val="00D40166"/>
    <w:rsid w:val="00D65040"/>
    <w:rsid w:val="00D97DD7"/>
    <w:rsid w:val="00EC73A3"/>
    <w:rsid w:val="00F670F8"/>
    <w:rsid w:val="00FA63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B6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20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B6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20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277">
      <w:bodyDiv w:val="1"/>
      <w:marLeft w:val="0"/>
      <w:marRight w:val="0"/>
      <w:marTop w:val="0"/>
      <w:marBottom w:val="0"/>
      <w:divBdr>
        <w:top w:val="none" w:sz="0" w:space="0" w:color="auto"/>
        <w:left w:val="none" w:sz="0" w:space="0" w:color="auto"/>
        <w:bottom w:val="none" w:sz="0" w:space="0" w:color="auto"/>
        <w:right w:val="none" w:sz="0" w:space="0" w:color="auto"/>
      </w:divBdr>
    </w:div>
    <w:div w:id="37122595">
      <w:bodyDiv w:val="1"/>
      <w:marLeft w:val="0"/>
      <w:marRight w:val="0"/>
      <w:marTop w:val="0"/>
      <w:marBottom w:val="0"/>
      <w:divBdr>
        <w:top w:val="none" w:sz="0" w:space="0" w:color="auto"/>
        <w:left w:val="none" w:sz="0" w:space="0" w:color="auto"/>
        <w:bottom w:val="none" w:sz="0" w:space="0" w:color="auto"/>
        <w:right w:val="none" w:sz="0" w:space="0" w:color="auto"/>
      </w:divBdr>
      <w:divsChild>
        <w:div w:id="1145661542">
          <w:marLeft w:val="0"/>
          <w:marRight w:val="0"/>
          <w:marTop w:val="0"/>
          <w:marBottom w:val="0"/>
          <w:divBdr>
            <w:top w:val="none" w:sz="0" w:space="0" w:color="auto"/>
            <w:left w:val="none" w:sz="0" w:space="0" w:color="auto"/>
            <w:bottom w:val="none" w:sz="0" w:space="0" w:color="auto"/>
            <w:right w:val="none" w:sz="0" w:space="0" w:color="auto"/>
          </w:divBdr>
        </w:div>
        <w:div w:id="730081730">
          <w:marLeft w:val="0"/>
          <w:marRight w:val="0"/>
          <w:marTop w:val="0"/>
          <w:marBottom w:val="0"/>
          <w:divBdr>
            <w:top w:val="none" w:sz="0" w:space="0" w:color="auto"/>
            <w:left w:val="none" w:sz="0" w:space="0" w:color="auto"/>
            <w:bottom w:val="none" w:sz="0" w:space="0" w:color="auto"/>
            <w:right w:val="none" w:sz="0" w:space="0" w:color="auto"/>
          </w:divBdr>
        </w:div>
      </w:divsChild>
    </w:div>
    <w:div w:id="282394823">
      <w:bodyDiv w:val="1"/>
      <w:marLeft w:val="0"/>
      <w:marRight w:val="0"/>
      <w:marTop w:val="0"/>
      <w:marBottom w:val="0"/>
      <w:divBdr>
        <w:top w:val="none" w:sz="0" w:space="0" w:color="auto"/>
        <w:left w:val="none" w:sz="0" w:space="0" w:color="auto"/>
        <w:bottom w:val="none" w:sz="0" w:space="0" w:color="auto"/>
        <w:right w:val="none" w:sz="0" w:space="0" w:color="auto"/>
      </w:divBdr>
    </w:div>
    <w:div w:id="773283264">
      <w:bodyDiv w:val="1"/>
      <w:marLeft w:val="0"/>
      <w:marRight w:val="0"/>
      <w:marTop w:val="0"/>
      <w:marBottom w:val="0"/>
      <w:divBdr>
        <w:top w:val="none" w:sz="0" w:space="0" w:color="auto"/>
        <w:left w:val="none" w:sz="0" w:space="0" w:color="auto"/>
        <w:bottom w:val="none" w:sz="0" w:space="0" w:color="auto"/>
        <w:right w:val="none" w:sz="0" w:space="0" w:color="auto"/>
      </w:divBdr>
    </w:div>
    <w:div w:id="1213031599">
      <w:bodyDiv w:val="1"/>
      <w:marLeft w:val="0"/>
      <w:marRight w:val="0"/>
      <w:marTop w:val="0"/>
      <w:marBottom w:val="0"/>
      <w:divBdr>
        <w:top w:val="none" w:sz="0" w:space="0" w:color="auto"/>
        <w:left w:val="none" w:sz="0" w:space="0" w:color="auto"/>
        <w:bottom w:val="none" w:sz="0" w:space="0" w:color="auto"/>
        <w:right w:val="none" w:sz="0" w:space="0" w:color="auto"/>
      </w:divBdr>
    </w:div>
    <w:div w:id="1405909599">
      <w:bodyDiv w:val="1"/>
      <w:marLeft w:val="0"/>
      <w:marRight w:val="0"/>
      <w:marTop w:val="0"/>
      <w:marBottom w:val="0"/>
      <w:divBdr>
        <w:top w:val="none" w:sz="0" w:space="0" w:color="auto"/>
        <w:left w:val="none" w:sz="0" w:space="0" w:color="auto"/>
        <w:bottom w:val="none" w:sz="0" w:space="0" w:color="auto"/>
        <w:right w:val="none" w:sz="0" w:space="0" w:color="auto"/>
      </w:divBdr>
    </w:div>
    <w:div w:id="212357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708</Words>
  <Characters>4037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Sedat OGUZ</dc:creator>
  <cp:lastModifiedBy>Sedat OGUZ</cp:lastModifiedBy>
  <cp:revision>33</cp:revision>
  <cp:lastPrinted>2016-01-22T15:23:00Z</cp:lastPrinted>
  <dcterms:created xsi:type="dcterms:W3CDTF">2015-09-28T11:29:00Z</dcterms:created>
  <dcterms:modified xsi:type="dcterms:W3CDTF">2016-01-27T10:31:00Z</dcterms:modified>
</cp:coreProperties>
</file>